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BED" w:rsidRDefault="00461BED" w:rsidP="00461BED">
      <w:pPr>
        <w:pStyle w:val="Nagwek2"/>
        <w:jc w:val="both"/>
        <w:rPr>
          <w:rFonts w:ascii="Calibri" w:hAnsi="Calibri" w:cs="Calibri"/>
          <w:sz w:val="22"/>
          <w:szCs w:val="22"/>
        </w:rPr>
      </w:pPr>
      <w:bookmarkStart w:id="0" w:name="_GoBack"/>
      <w:r>
        <w:rPr>
          <w:rFonts w:ascii="Calibri" w:hAnsi="Calibri" w:cs="Calibri"/>
          <w:sz w:val="22"/>
          <w:szCs w:val="22"/>
        </w:rPr>
        <w:t>Nawet 100 tys. euro co roku dla nowych grup producentów</w:t>
      </w:r>
    </w:p>
    <w:bookmarkEnd w:id="0"/>
    <w:p w:rsidR="00461BED" w:rsidRDefault="00461BED" w:rsidP="00461BED">
      <w:pPr>
        <w:jc w:val="both"/>
        <w:rPr>
          <w:rFonts w:ascii="Calibri" w:hAnsi="Calibri" w:cs="Calibri"/>
        </w:rPr>
      </w:pPr>
      <w:r>
        <w:rPr>
          <w:b/>
          <w:bCs/>
        </w:rPr>
        <w:t>Od 19 czerwca d</w:t>
      </w:r>
      <w:r>
        <w:rPr>
          <w:b/>
          <w:bCs/>
          <w:lang w:eastAsia="pl-PL"/>
        </w:rPr>
        <w:t xml:space="preserve">o 17 sierpnia 2020 r. ARiMR będzie </w:t>
      </w:r>
      <w:r>
        <w:rPr>
          <w:b/>
          <w:bCs/>
        </w:rPr>
        <w:t>przyjmowała wnioski o wsparcie na „Tworzenie grup producentów i organizacji producentów”.</w:t>
      </w:r>
      <w:r>
        <w:rPr>
          <w:b/>
          <w:bCs/>
          <w:lang w:eastAsia="pl-PL"/>
        </w:rPr>
        <w:t xml:space="preserve"> To już siódmy nabór tego typu w ramach</w:t>
      </w:r>
      <w:r>
        <w:rPr>
          <w:b/>
          <w:bCs/>
          <w:lang w:eastAsia="pl-PL"/>
        </w:rPr>
        <w:br/>
        <w:t>PROW 2014-2020.</w:t>
      </w:r>
    </w:p>
    <w:p w:rsidR="00461BED" w:rsidRDefault="00461BED" w:rsidP="00461BED">
      <w:pPr>
        <w:pStyle w:val="NormalnyWeb"/>
        <w:jc w:val="both"/>
      </w:pPr>
      <w:r>
        <w:rPr>
          <w:b/>
          <w:bCs/>
        </w:rPr>
        <w:t>Kto może ubiegać się o dofinansowanie?</w:t>
      </w:r>
    </w:p>
    <w:p w:rsidR="00461BED" w:rsidRDefault="00461BED" w:rsidP="00461BED">
      <w:pPr>
        <w:spacing w:before="100" w:beforeAutospacing="1" w:after="100" w:afterAutospacing="1" w:line="276" w:lineRule="auto"/>
        <w:jc w:val="both"/>
        <w:rPr>
          <w:lang w:eastAsia="pl-PL"/>
        </w:rPr>
      </w:pPr>
      <w:r>
        <w:t>Pomoc kierowana jest do nowych grup producentów rolnych uznanych</w:t>
      </w:r>
      <w:r>
        <w:rPr>
          <w:lang w:eastAsia="pl-PL"/>
        </w:rPr>
        <w:t xml:space="preserve"> od 1 czerwca 2019 r.</w:t>
      </w:r>
      <w:r>
        <w:br/>
        <w:t xml:space="preserve">W ich skład muszą wchodzić wyłącznie osoby fizyczne, </w:t>
      </w:r>
      <w:r>
        <w:rPr>
          <w:lang w:eastAsia="pl-PL"/>
        </w:rPr>
        <w:t>działające jako przedsiębiorcy prowadzący mikro, małe lub średnie przedsiębiorstwo.</w:t>
      </w:r>
      <w:r>
        <w:t xml:space="preserve"> </w:t>
      </w:r>
      <w:r>
        <w:rPr>
          <w:lang w:eastAsia="pl-PL"/>
        </w:rPr>
        <w:t>Ponadto o wsparcie mogą starać się grupy, które spełniają następujące warunki:</w:t>
      </w:r>
    </w:p>
    <w:p w:rsidR="00461BED" w:rsidRDefault="00461BED" w:rsidP="00461BED">
      <w:pPr>
        <w:numPr>
          <w:ilvl w:val="0"/>
          <w:numId w:val="1"/>
        </w:numPr>
        <w:spacing w:before="100" w:beforeAutospacing="1" w:after="100" w:afterAutospacing="1" w:line="276" w:lineRule="auto"/>
        <w:jc w:val="both"/>
        <w:rPr>
          <w:rFonts w:eastAsia="Times New Roman"/>
          <w:lang w:eastAsia="pl-PL"/>
        </w:rPr>
      </w:pPr>
      <w:r>
        <w:rPr>
          <w:rFonts w:eastAsia="Times New Roman"/>
          <w:lang w:eastAsia="pl-PL"/>
        </w:rPr>
        <w:t>zostały uznane przez dyrektora oddziału regionalnego ARiMR na podstawie planu biznesowego;</w:t>
      </w:r>
    </w:p>
    <w:p w:rsidR="00461BED" w:rsidRDefault="00461BED" w:rsidP="00461BED">
      <w:pPr>
        <w:numPr>
          <w:ilvl w:val="0"/>
          <w:numId w:val="1"/>
        </w:numPr>
        <w:spacing w:before="100" w:beforeAutospacing="1" w:after="100" w:afterAutospacing="1" w:line="276" w:lineRule="auto"/>
        <w:jc w:val="both"/>
        <w:rPr>
          <w:rFonts w:eastAsia="Times New Roman"/>
          <w:lang w:eastAsia="pl-PL"/>
        </w:rPr>
      </w:pPr>
      <w:r>
        <w:rPr>
          <w:rFonts w:eastAsia="Times New Roman"/>
          <w:lang w:eastAsia="pl-PL"/>
        </w:rPr>
        <w:t>łączą producentów jednego produktu lub grupy produktów, którzy nie byli członkami grupy producentów lub organizacji producentów utworzonej ze względu na ten sam produkt</w:t>
      </w:r>
      <w:r>
        <w:rPr>
          <w:rFonts w:eastAsia="Times New Roman"/>
          <w:lang w:eastAsia="pl-PL"/>
        </w:rPr>
        <w:br/>
        <w:t>lub grupę produktów;</w:t>
      </w:r>
    </w:p>
    <w:p w:rsidR="00461BED" w:rsidRDefault="00461BED" w:rsidP="00461BED">
      <w:pPr>
        <w:numPr>
          <w:ilvl w:val="0"/>
          <w:numId w:val="1"/>
        </w:numPr>
        <w:spacing w:before="100" w:beforeAutospacing="1" w:after="100" w:afterAutospacing="1" w:line="276" w:lineRule="auto"/>
        <w:jc w:val="both"/>
        <w:rPr>
          <w:rFonts w:eastAsia="Times New Roman"/>
          <w:lang w:eastAsia="pl-PL"/>
        </w:rPr>
      </w:pPr>
      <w:r>
        <w:rPr>
          <w:rFonts w:eastAsia="Times New Roman"/>
          <w:lang w:eastAsia="pl-PL"/>
        </w:rPr>
        <w:t>której przyznano i wypłacono pomoc na rozpoczęcie działalności ze środków UE po</w:t>
      </w:r>
      <w:r>
        <w:rPr>
          <w:rFonts w:eastAsia="Times New Roman"/>
          <w:lang w:eastAsia="pl-PL"/>
        </w:rPr>
        <w:br/>
        <w:t>1 maja 2004 r.;</w:t>
      </w:r>
    </w:p>
    <w:p w:rsidR="00461BED" w:rsidRDefault="00461BED" w:rsidP="00461BED">
      <w:pPr>
        <w:numPr>
          <w:ilvl w:val="0"/>
          <w:numId w:val="1"/>
        </w:numPr>
        <w:spacing w:before="100" w:beforeAutospacing="1" w:after="100" w:afterAutospacing="1" w:line="276" w:lineRule="auto"/>
        <w:jc w:val="both"/>
        <w:rPr>
          <w:rFonts w:eastAsia="Times New Roman"/>
          <w:lang w:eastAsia="pl-PL"/>
        </w:rPr>
      </w:pPr>
      <w:r>
        <w:rPr>
          <w:rFonts w:eastAsia="Times New Roman"/>
          <w:color w:val="000000"/>
        </w:rPr>
        <w:t>w skład grupy producentów nie wchodzą małżonkowie członków, o których mowa powyżej,</w:t>
      </w:r>
      <w:r>
        <w:rPr>
          <w:rFonts w:eastAsia="Times New Roman"/>
          <w:color w:val="000000"/>
        </w:rPr>
        <w:br/>
        <w:t>z wyłączeniem małżonków, którzy mają ustanowioną rozdzielność majątkową</w:t>
      </w:r>
      <w:r>
        <w:rPr>
          <w:rFonts w:eastAsia="Times New Roman"/>
          <w:lang w:eastAsia="pl-PL"/>
        </w:rPr>
        <w:t>;</w:t>
      </w:r>
    </w:p>
    <w:p w:rsidR="00461BED" w:rsidRDefault="00461BED" w:rsidP="00461BED">
      <w:pPr>
        <w:numPr>
          <w:ilvl w:val="0"/>
          <w:numId w:val="1"/>
        </w:numPr>
        <w:spacing w:before="100" w:beforeAutospacing="1" w:after="100" w:afterAutospacing="1" w:line="276" w:lineRule="auto"/>
        <w:jc w:val="both"/>
        <w:rPr>
          <w:rFonts w:eastAsia="Times New Roman"/>
          <w:lang w:eastAsia="pl-PL"/>
        </w:rPr>
      </w:pPr>
      <w:r>
        <w:rPr>
          <w:rFonts w:eastAsia="Times New Roman"/>
          <w:lang w:eastAsia="pl-PL"/>
        </w:rPr>
        <w:t>zadeklarują realizację planu biznesowego w celu osiągnięcia jego założeń w trakcie trwania</w:t>
      </w:r>
      <w:r>
        <w:rPr>
          <w:rFonts w:eastAsia="Times New Roman"/>
          <w:lang w:eastAsia="pl-PL"/>
        </w:rPr>
        <w:br/>
        <w:t>5-letniego okresu pomocy.</w:t>
      </w:r>
    </w:p>
    <w:p w:rsidR="00461BED" w:rsidRDefault="00461BED" w:rsidP="00461BED">
      <w:pPr>
        <w:pStyle w:val="NormalnyWeb"/>
        <w:spacing w:line="276" w:lineRule="auto"/>
        <w:jc w:val="both"/>
      </w:pPr>
      <w:r>
        <w:t>Wsparcia nie można otrzymać na tworzenie grup producentów zajmujących się hodowlą drobiu, wyrobami z mięsa drobiowego i jego podrobów.</w:t>
      </w:r>
    </w:p>
    <w:p w:rsidR="00461BED" w:rsidRDefault="00461BED" w:rsidP="00461BED">
      <w:pPr>
        <w:spacing w:before="240" w:line="276" w:lineRule="auto"/>
        <w:jc w:val="both"/>
        <w:rPr>
          <w:b/>
          <w:bCs/>
        </w:rPr>
      </w:pPr>
      <w:r>
        <w:rPr>
          <w:b/>
          <w:bCs/>
        </w:rPr>
        <w:t>W jakiej formie i wysokości udzielana jest pomoc?</w:t>
      </w:r>
    </w:p>
    <w:p w:rsidR="00461BED" w:rsidRDefault="00461BED" w:rsidP="00461BED">
      <w:pPr>
        <w:spacing w:before="100" w:beforeAutospacing="1" w:after="100" w:afterAutospacing="1" w:line="276" w:lineRule="auto"/>
        <w:jc w:val="both"/>
        <w:rPr>
          <w:lang w:eastAsia="pl-PL"/>
        </w:rPr>
      </w:pPr>
      <w:r>
        <w:rPr>
          <w:lang w:eastAsia="pl-PL"/>
        </w:rPr>
        <w:t>Pomoc przyznawana jest w okresie pierwszych 5 lat działania grupy liczonych od dnia jej uznania. Wysokość dofinansowania, jakie może otrzymać grupa, zależy od wartości rocznych przychodów netto uzyskanych ze sprzedaży produktów lub grupy produktów wytworzonych przez jej członków</w:t>
      </w:r>
      <w:r>
        <w:rPr>
          <w:lang w:eastAsia="pl-PL"/>
        </w:rPr>
        <w:br/>
        <w:t>w poszczególnych latach. Ważne jest, że odbiorcami produktów nie mogą być osoby należące do grupy producentów, współmałżonkowie takich osób, podmioty powiązane kapitałowo lub osobowo</w:t>
      </w:r>
      <w:r>
        <w:rPr>
          <w:lang w:eastAsia="pl-PL"/>
        </w:rPr>
        <w:br/>
        <w:t xml:space="preserve">w sposób bezpośredni lub pośredni z beneficjentem lub jego współmałżonkiem. </w:t>
      </w:r>
    </w:p>
    <w:p w:rsidR="00461BED" w:rsidRDefault="00461BED" w:rsidP="00461BED">
      <w:pPr>
        <w:spacing w:before="100" w:beforeAutospacing="1" w:after="100" w:afterAutospacing="1" w:line="276" w:lineRule="auto"/>
        <w:jc w:val="both"/>
        <w:rPr>
          <w:lang w:eastAsia="pl-PL"/>
        </w:rPr>
      </w:pPr>
      <w:r>
        <w:rPr>
          <w:lang w:eastAsia="pl-PL"/>
        </w:rPr>
        <w:t xml:space="preserve">Wysokość wsparcia wynosi: </w:t>
      </w:r>
      <w:r>
        <w:t xml:space="preserve">w pierwszym roku </w:t>
      </w:r>
      <w:r>
        <w:rPr>
          <w:color w:val="000000"/>
        </w:rPr>
        <w:t xml:space="preserve">– </w:t>
      </w:r>
      <w:r>
        <w:t>10 proc. przychodów netto,</w:t>
      </w:r>
      <w:r>
        <w:rPr>
          <w:lang w:eastAsia="pl-PL"/>
        </w:rPr>
        <w:t xml:space="preserve"> </w:t>
      </w:r>
      <w:r>
        <w:t xml:space="preserve">w drugim roku </w:t>
      </w:r>
      <w:r>
        <w:rPr>
          <w:color w:val="000000"/>
        </w:rPr>
        <w:t xml:space="preserve">– </w:t>
      </w:r>
      <w:r>
        <w:t>9 proc.,</w:t>
      </w:r>
      <w:r>
        <w:rPr>
          <w:lang w:eastAsia="pl-PL"/>
        </w:rPr>
        <w:t xml:space="preserve"> </w:t>
      </w:r>
      <w:r>
        <w:t xml:space="preserve">w trzecim roku </w:t>
      </w:r>
      <w:r>
        <w:rPr>
          <w:color w:val="000000"/>
        </w:rPr>
        <w:t xml:space="preserve">– </w:t>
      </w:r>
      <w:r>
        <w:t xml:space="preserve">8 proc. w czwartym roku </w:t>
      </w:r>
      <w:r>
        <w:rPr>
          <w:color w:val="000000"/>
        </w:rPr>
        <w:t>–</w:t>
      </w:r>
      <w:r>
        <w:t xml:space="preserve"> 7 proc., w piątym roku </w:t>
      </w:r>
      <w:r>
        <w:rPr>
          <w:color w:val="000000"/>
        </w:rPr>
        <w:t>–</w:t>
      </w:r>
      <w:r>
        <w:t xml:space="preserve"> 6 proc. Maksymalny limit pomocy to 100 tys. euro w każdym roku pięcioletniego okresu przyznawania wsparcia. </w:t>
      </w:r>
    </w:p>
    <w:p w:rsidR="00461BED" w:rsidRDefault="00461BED" w:rsidP="00461BED">
      <w:pPr>
        <w:spacing w:before="240" w:line="276" w:lineRule="auto"/>
        <w:jc w:val="both"/>
        <w:rPr>
          <w:b/>
          <w:bCs/>
        </w:rPr>
      </w:pPr>
      <w:r>
        <w:rPr>
          <w:b/>
          <w:bCs/>
        </w:rPr>
        <w:t xml:space="preserve">Gdzie złożyć wniosek? </w:t>
      </w:r>
    </w:p>
    <w:p w:rsidR="00461BED" w:rsidRDefault="00461BED" w:rsidP="00461BED">
      <w:pPr>
        <w:spacing w:before="100" w:beforeAutospacing="1" w:after="100" w:afterAutospacing="1" w:line="276" w:lineRule="auto"/>
        <w:jc w:val="both"/>
      </w:pPr>
      <w:r>
        <w:rPr>
          <w:lang w:eastAsia="pl-PL"/>
        </w:rPr>
        <w:t xml:space="preserve">Wnioski będą przyjmowały oddziały regionalne ARiMR. Agencja zachęca, by w czasie trwania stanu epidemii przekazywać je </w:t>
      </w:r>
      <w:r>
        <w:t xml:space="preserve">za pośrednictwem platformy </w:t>
      </w:r>
      <w:proofErr w:type="spellStart"/>
      <w:r>
        <w:t>ePUAP</w:t>
      </w:r>
      <w:proofErr w:type="spellEnd"/>
      <w:r>
        <w:t xml:space="preserve">, w formie dokumentu elektronicznego na elektroniczną skrzynkę podawczą lub rejestrowaną przesyłką pocztową. Dokumenty można także </w:t>
      </w:r>
      <w:r>
        <w:lastRenderedPageBreak/>
        <w:t xml:space="preserve">dostarczyć do specjalnych </w:t>
      </w:r>
      <w:proofErr w:type="spellStart"/>
      <w:r>
        <w:t>wrzutni</w:t>
      </w:r>
      <w:proofErr w:type="spellEnd"/>
      <w:r>
        <w:t>, które ustawione są w placówkach terenowych Agencji</w:t>
      </w:r>
      <w:r>
        <w:br/>
        <w:t>lub osobiście.</w:t>
      </w:r>
    </w:p>
    <w:p w:rsidR="00461BED" w:rsidRDefault="00461BED" w:rsidP="00461BED">
      <w:pPr>
        <w:spacing w:before="240" w:line="276" w:lineRule="auto"/>
        <w:jc w:val="both"/>
      </w:pPr>
      <w:r>
        <w:t>Złożone wnioski poddawane są ocenie. Na podstawie liczby przyznanych punktów ustalona zostanie kolejność przyznawania pomocy.</w:t>
      </w:r>
    </w:p>
    <w:p w:rsidR="003F6DE7" w:rsidRDefault="00461BED" w:rsidP="00461BED">
      <w:pPr>
        <w:spacing w:before="240" w:line="276" w:lineRule="auto"/>
        <w:jc w:val="both"/>
      </w:pPr>
      <w:r>
        <w:t>W rejestrze prowadzonym przez ARiMR znajduje się obecnie 771 aktywnych grup producentów rolnych.</w:t>
      </w:r>
    </w:p>
    <w:sectPr w:rsidR="003F6DE7" w:rsidSect="001C0B3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6A7747"/>
    <w:multiLevelType w:val="multilevel"/>
    <w:tmpl w:val="56C053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61BED"/>
    <w:rsid w:val="001C0B3F"/>
    <w:rsid w:val="003220B7"/>
    <w:rsid w:val="00461BED"/>
    <w:rsid w:val="004911CD"/>
    <w:rsid w:val="007445D0"/>
    <w:rsid w:val="0099409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1BED"/>
    <w:pPr>
      <w:spacing w:after="0" w:line="240" w:lineRule="auto"/>
    </w:pPr>
  </w:style>
  <w:style w:type="paragraph" w:styleId="Nagwek2">
    <w:name w:val="heading 2"/>
    <w:basedOn w:val="Normalny"/>
    <w:link w:val="Nagwek2Znak"/>
    <w:uiPriority w:val="9"/>
    <w:semiHidden/>
    <w:unhideWhenUsed/>
    <w:qFormat/>
    <w:rsid w:val="00461BED"/>
    <w:pPr>
      <w:spacing w:before="100" w:beforeAutospacing="1" w:after="100" w:afterAutospacing="1"/>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461BED"/>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461BED"/>
    <w:pPr>
      <w:spacing w:before="100" w:beforeAutospacing="1" w:after="100" w:afterAutospacing="1"/>
    </w:pPr>
    <w:rPr>
      <w:rFonts w:ascii="Calibri" w:hAnsi="Calibri" w:cs="Calibri"/>
      <w:lang w:eastAsia="pl-PL"/>
    </w:rPr>
  </w:style>
</w:styles>
</file>

<file path=word/webSettings.xml><?xml version="1.0" encoding="utf-8"?>
<w:webSettings xmlns:r="http://schemas.openxmlformats.org/officeDocument/2006/relationships" xmlns:w="http://schemas.openxmlformats.org/wordprocessingml/2006/main">
  <w:divs>
    <w:div w:id="143258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2461</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Grzybowska Agnieszka</dc:creator>
  <cp:lastModifiedBy>admin</cp:lastModifiedBy>
  <cp:revision>2</cp:revision>
  <dcterms:created xsi:type="dcterms:W3CDTF">2020-05-27T11:32:00Z</dcterms:created>
  <dcterms:modified xsi:type="dcterms:W3CDTF">2020-05-27T11:32:00Z</dcterms:modified>
</cp:coreProperties>
</file>