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01" w:rsidRDefault="00D43F01" w:rsidP="00D43F01">
      <w:pPr>
        <w:spacing w:after="0"/>
        <w:jc w:val="both"/>
        <w:rPr>
          <w:rFonts w:eastAsiaTheme="minorHAnsi"/>
          <w:b/>
          <w:bCs/>
          <w:color w:val="000000"/>
        </w:rPr>
      </w:pPr>
      <w:r>
        <w:rPr>
          <w:b/>
          <w:bCs/>
          <w:color w:val="000000"/>
        </w:rPr>
        <w:t xml:space="preserve">ARiMR: Są dodatkowe pieniądze na kredyty preferencyjne </w:t>
      </w:r>
    </w:p>
    <w:p w:rsidR="00D43F01" w:rsidRDefault="00D43F01" w:rsidP="00D43F01">
      <w:pPr>
        <w:keepNext/>
        <w:spacing w:before="20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Rolnicy, którzy chcą ubiegać się o pomoc w formie preferencyjnych kredytów z dofinansowaniem ARiMR, mogą składać wnioski w bankach współpracujących z Agencją. Pomoc ARiMR polega na płaceniu za kredytobiorcę części oprocentowania kredytu udzielanego przez bank. W efekcie rolnik ma tańszy kredyt niż w przypadku, gdyby korzystał z kredytu komercyjnego.</w:t>
      </w:r>
    </w:p>
    <w:p w:rsidR="00D43F01" w:rsidRDefault="00D43F01" w:rsidP="00D43F01">
      <w:pPr>
        <w:keepNext/>
        <w:spacing w:before="200" w:after="0"/>
        <w:jc w:val="both"/>
        <w:rPr>
          <w:b/>
          <w:bCs/>
          <w:color w:val="000000"/>
        </w:rPr>
      </w:pPr>
    </w:p>
    <w:p w:rsidR="00D43F01" w:rsidRDefault="00D43F01" w:rsidP="00D43F01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 kwietnia 2020 r. Agencja udostępni</w:t>
      </w:r>
      <w:r w:rsidR="00FE0325">
        <w:rPr>
          <w:b/>
          <w:bCs/>
          <w:color w:val="000000"/>
        </w:rPr>
        <w:t>ła</w:t>
      </w:r>
      <w:bookmarkStart w:id="0" w:name="_GoBack"/>
      <w:bookmarkEnd w:id="0"/>
      <w:r>
        <w:rPr>
          <w:b/>
          <w:bCs/>
          <w:color w:val="000000"/>
        </w:rPr>
        <w:t xml:space="preserve"> współpracującym bankom na 2020 r. dodatkowe limity akcji kredytowej oraz środki na dopłaty do oprocentowania kredytów. Jeżeli wyczerpie się pula środków, zostanie zwiększona w miarę zapotrzebowania.</w:t>
      </w:r>
    </w:p>
    <w:p w:rsidR="00D43F01" w:rsidRDefault="00D43F01" w:rsidP="00D43F01">
      <w:pPr>
        <w:spacing w:after="120"/>
        <w:jc w:val="both"/>
      </w:pPr>
      <w:r>
        <w:t>Łączna pula środków na kredyty wyniesie:</w:t>
      </w:r>
    </w:p>
    <w:p w:rsidR="00D43F01" w:rsidRDefault="00D43F01" w:rsidP="00D43F01">
      <w:pPr>
        <w:pStyle w:val="Akapitzlist"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Kredyty na sfinansowanie części kosztów inwestycji (z linii PR, RR, Z)</w:t>
      </w:r>
    </w:p>
    <w:p w:rsidR="00D43F01" w:rsidRDefault="00D43F01" w:rsidP="00D43F01">
      <w:pPr>
        <w:pStyle w:val="Akapitzlist"/>
        <w:numPr>
          <w:ilvl w:val="0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limit akcji kredytowej w wysokości </w:t>
      </w:r>
      <w:r>
        <w:rPr>
          <w:rFonts w:eastAsia="Times New Roman"/>
          <w:b/>
          <w:bCs/>
        </w:rPr>
        <w:t>500 mln zł</w:t>
      </w:r>
      <w:r>
        <w:rPr>
          <w:rFonts w:eastAsia="Times New Roman"/>
        </w:rPr>
        <w:t>,</w:t>
      </w:r>
    </w:p>
    <w:p w:rsidR="00D43F01" w:rsidRDefault="00D43F01" w:rsidP="00D43F01">
      <w:pPr>
        <w:pStyle w:val="Akapitzlist"/>
        <w:numPr>
          <w:ilvl w:val="0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środki w kwocie </w:t>
      </w:r>
      <w:r>
        <w:rPr>
          <w:rFonts w:eastAsia="Times New Roman"/>
          <w:b/>
          <w:bCs/>
        </w:rPr>
        <w:t>4,0 mln zł</w:t>
      </w:r>
      <w:r>
        <w:rPr>
          <w:rFonts w:eastAsia="Times New Roman"/>
        </w:rPr>
        <w:t xml:space="preserve"> na dopłaty do oprocentowania w/w kredytów.</w:t>
      </w:r>
    </w:p>
    <w:p w:rsidR="00D43F01" w:rsidRDefault="00D43F01" w:rsidP="00D43F01">
      <w:pPr>
        <w:pStyle w:val="Akapitzlist"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Kredyty na wznowienie produkcji po klęskach żywiołowych (z linii K01, K02, DK01, DK02)</w:t>
      </w:r>
    </w:p>
    <w:p w:rsidR="00D43F01" w:rsidRDefault="00D43F01" w:rsidP="00D43F01">
      <w:pPr>
        <w:pStyle w:val="Akapitzlist"/>
        <w:numPr>
          <w:ilvl w:val="0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limit akcji kredytowej w wysokości </w:t>
      </w:r>
      <w:r>
        <w:rPr>
          <w:rFonts w:eastAsia="Times New Roman"/>
          <w:b/>
          <w:bCs/>
        </w:rPr>
        <w:t>1 mld zł</w:t>
      </w:r>
      <w:r>
        <w:rPr>
          <w:rFonts w:eastAsia="Times New Roman"/>
        </w:rPr>
        <w:t>,</w:t>
      </w:r>
    </w:p>
    <w:p w:rsidR="00D43F01" w:rsidRPr="00D43F01" w:rsidRDefault="00D43F01" w:rsidP="00D43F01">
      <w:pPr>
        <w:pStyle w:val="Akapitzlist"/>
        <w:numPr>
          <w:ilvl w:val="0"/>
          <w:numId w:val="2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 xml:space="preserve">środki w kwocie </w:t>
      </w:r>
      <w:r>
        <w:rPr>
          <w:rFonts w:eastAsia="Times New Roman"/>
          <w:b/>
          <w:bCs/>
        </w:rPr>
        <w:t>21,8 mln zł</w:t>
      </w:r>
      <w:r>
        <w:rPr>
          <w:rFonts w:eastAsia="Times New Roman"/>
        </w:rPr>
        <w:t xml:space="preserve"> na dopłaty do oprocentowania w/w kredytów.</w:t>
      </w:r>
    </w:p>
    <w:p w:rsidR="00D43F01" w:rsidRDefault="00D43F01" w:rsidP="00D43F01">
      <w:pPr>
        <w:pStyle w:val="Akapitzlist"/>
        <w:spacing w:after="120"/>
        <w:jc w:val="both"/>
      </w:pPr>
    </w:p>
    <w:p w:rsidR="00D43F01" w:rsidRDefault="00D43F01" w:rsidP="00D43F01">
      <w:pPr>
        <w:pStyle w:val="Akapitzlist"/>
        <w:numPr>
          <w:ilvl w:val="0"/>
          <w:numId w:val="3"/>
        </w:numPr>
        <w:spacing w:after="120"/>
        <w:jc w:val="both"/>
        <w:rPr>
          <w:b/>
          <w:bCs/>
        </w:rPr>
      </w:pPr>
      <w:r>
        <w:rPr>
          <w:b/>
          <w:bCs/>
        </w:rPr>
        <w:t>Kredyty na sfinansowanie części kosztów inwestycji (z linii PR, RR, Z)</w:t>
      </w:r>
    </w:p>
    <w:p w:rsidR="00D43F01" w:rsidRDefault="00D43F01" w:rsidP="00D43F01">
      <w:pPr>
        <w:spacing w:after="160"/>
        <w:jc w:val="both"/>
      </w:pPr>
      <w:r>
        <w:t xml:space="preserve">Podmioty zajmujące się </w:t>
      </w:r>
      <w:r>
        <w:rPr>
          <w:b/>
          <w:bCs/>
        </w:rPr>
        <w:t>produkcją rolną</w:t>
      </w:r>
      <w:r>
        <w:t xml:space="preserve"> mogą ubiegać się o udzielenie: </w:t>
      </w:r>
    </w:p>
    <w:p w:rsidR="00D43F01" w:rsidRDefault="00D43F01" w:rsidP="00D43F01">
      <w:pPr>
        <w:pStyle w:val="Akapitzlist"/>
        <w:numPr>
          <w:ilvl w:val="0"/>
          <w:numId w:val="4"/>
        </w:numPr>
        <w:spacing w:after="160"/>
        <w:jc w:val="both"/>
        <w:rPr>
          <w:rFonts w:eastAsia="Times New Roman"/>
        </w:rPr>
      </w:pPr>
      <w:r>
        <w:rPr>
          <w:rFonts w:eastAsia="Times New Roman"/>
        </w:rPr>
        <w:t xml:space="preserve">kredytu na inwestycje w rolnictwie i w rybactwie śródlądowym – </w:t>
      </w:r>
      <w:r>
        <w:rPr>
          <w:rFonts w:eastAsia="Times New Roman"/>
          <w:b/>
          <w:bCs/>
        </w:rPr>
        <w:t>linia RR;</w:t>
      </w:r>
    </w:p>
    <w:p w:rsidR="00D43F01" w:rsidRDefault="00D43F01" w:rsidP="00D43F01">
      <w:pPr>
        <w:pStyle w:val="Akapitzlist"/>
        <w:numPr>
          <w:ilvl w:val="0"/>
          <w:numId w:val="4"/>
        </w:numPr>
        <w:spacing w:after="160"/>
        <w:jc w:val="both"/>
        <w:rPr>
          <w:rFonts w:eastAsia="Times New Roman"/>
        </w:rPr>
      </w:pPr>
      <w:r>
        <w:rPr>
          <w:rFonts w:eastAsia="Times New Roman"/>
        </w:rPr>
        <w:t xml:space="preserve">kredytu na zakup użytków rolnych – </w:t>
      </w:r>
      <w:r>
        <w:rPr>
          <w:rFonts w:eastAsia="Times New Roman"/>
          <w:b/>
          <w:bCs/>
        </w:rPr>
        <w:t>linia Z.</w:t>
      </w:r>
    </w:p>
    <w:p w:rsidR="00D43F01" w:rsidRDefault="00D43F01" w:rsidP="00D43F01">
      <w:pPr>
        <w:spacing w:after="120"/>
        <w:jc w:val="both"/>
        <w:rPr>
          <w:rFonts w:eastAsiaTheme="minorHAnsi"/>
          <w:b/>
          <w:bCs/>
        </w:rPr>
      </w:pPr>
      <w:r>
        <w:t xml:space="preserve">Podmioty zainteresowane realizacją </w:t>
      </w:r>
      <w:r>
        <w:rPr>
          <w:b/>
          <w:bCs/>
        </w:rPr>
        <w:t>inwestycji w przetwórstwie</w:t>
      </w:r>
      <w:r>
        <w:t xml:space="preserve"> produktów rolnych, ryb, skorupiaków i mięczaków mogą ubiegać się o kredyt z </w:t>
      </w:r>
      <w:r>
        <w:rPr>
          <w:b/>
          <w:bCs/>
        </w:rPr>
        <w:t>linii PR.</w:t>
      </w:r>
    </w:p>
    <w:p w:rsidR="00D43F01" w:rsidRDefault="00D43F01" w:rsidP="00D43F01">
      <w:pPr>
        <w:spacing w:after="120"/>
        <w:jc w:val="both"/>
      </w:pPr>
      <w:r>
        <w:t>Kredyty inwestycyjne mogą być przeznaczone na zakup gruntów rolnych, budowę i modernizację budynków służących do produkcji rolnej oraz tworzenie infrastruktury gospodarstw, zakup maszyn i urządzeń rolniczych. Kwota kredytów inwestycyjnych dla jednego gospodarstwa rolnego wynosi 5 mln zł, natomiast działy specjalne produkcji rolnej mogą uzyskać kredyty do wysokości łącznie 8 mln zł.</w:t>
      </w:r>
    </w:p>
    <w:p w:rsidR="00D43F01" w:rsidRDefault="00D43F01" w:rsidP="00D43F01">
      <w:pPr>
        <w:spacing w:after="120"/>
        <w:jc w:val="both"/>
      </w:pPr>
      <w:r>
        <w:t>W przypadku kredytów przeznaczonych na przedsięwzięcia w zakresie przetwórstwa kwota kredytu wynosi do 16 mln zł.</w:t>
      </w:r>
    </w:p>
    <w:p w:rsidR="00D43F01" w:rsidRDefault="00D43F01" w:rsidP="00D43F01">
      <w:pPr>
        <w:pStyle w:val="Style5"/>
        <w:spacing w:line="276" w:lineRule="auto"/>
        <w:jc w:val="both"/>
        <w:rPr>
          <w:b/>
          <w:bCs/>
        </w:rPr>
      </w:pPr>
    </w:p>
    <w:p w:rsidR="00D43F01" w:rsidRDefault="00D43F01" w:rsidP="00D43F01">
      <w:pPr>
        <w:pStyle w:val="Akapitzlist"/>
        <w:numPr>
          <w:ilvl w:val="0"/>
          <w:numId w:val="5"/>
        </w:numPr>
        <w:spacing w:after="120"/>
        <w:jc w:val="both"/>
        <w:rPr>
          <w:b/>
          <w:bCs/>
        </w:rPr>
      </w:pPr>
      <w:r>
        <w:rPr>
          <w:b/>
          <w:bCs/>
        </w:rPr>
        <w:t>Kredyty na wznowienie produkcji po klęskach żywiołowych (z linii K01, K02, DK01, DK02)</w:t>
      </w:r>
    </w:p>
    <w:p w:rsidR="00D43F01" w:rsidRDefault="00D43F01" w:rsidP="00D43F01">
      <w:pPr>
        <w:pStyle w:val="Style5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Kredyty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wznowienie produkcji w gospodarstwach rolnych i działach specjalnych produkcji rolnej, stanowiące pomoc rolnikom poszkodowanym przez niektóre zjawiska atmosferyczne. </w:t>
      </w:r>
    </w:p>
    <w:p w:rsidR="00D43F01" w:rsidRDefault="00D43F01" w:rsidP="00D43F01">
      <w:pPr>
        <w:pStyle w:val="Style5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Kredyty „klęskowe” tzw. obrotowe, czyli na przywrócenie produkcyjności –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zakup rzeczowych środków do produkcji rolnej, m.in. kwalifikowanego materiału siewnego i szkółkarskiego, nawozów mineralnych, środków ochrony roślin, paliwa na cele rolnicze, inwentarza żywego, pasz treściwych i koncentratów, pasz objętościowych, a także</w:t>
      </w:r>
    </w:p>
    <w:p w:rsidR="00D43F01" w:rsidRDefault="00D43F01" w:rsidP="00D43F01">
      <w:pPr>
        <w:pStyle w:val="Style5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kredyty „klęskowe” inwestycyjne</w:t>
      </w:r>
      <w:r>
        <w:rPr>
          <w:rFonts w:ascii="Calibri" w:hAnsi="Calibri" w:cs="Calibri"/>
          <w:sz w:val="22"/>
          <w:szCs w:val="22"/>
        </w:rPr>
        <w:t xml:space="preserve"> – na przywrócenie funkcji użytkowych zniszczonych lub uszkodzonych budynków inwentarskich, uszkodzonych ciągników, maszyn i urządzeń rolniczych, elementów infrastruktury rolniczej oraz zakup kwalifikowanego materiału szkółkarskiego i stada podstawowego inwentarza żywego.</w:t>
      </w:r>
    </w:p>
    <w:p w:rsidR="00D43F01" w:rsidRDefault="00D43F01" w:rsidP="00D43F01">
      <w:pPr>
        <w:pStyle w:val="Style5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43F01" w:rsidRPr="001555A0" w:rsidRDefault="00D43F01" w:rsidP="00D43F01">
      <w:pPr>
        <w:pStyle w:val="Style5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Rolnicy mogą ubiegać się o </w:t>
      </w:r>
      <w:r>
        <w:rPr>
          <w:rStyle w:val="Pogrubienie"/>
          <w:rFonts w:ascii="Calibri" w:hAnsi="Calibri" w:cs="Calibri"/>
          <w:color w:val="000000"/>
          <w:sz w:val="22"/>
          <w:szCs w:val="22"/>
        </w:rPr>
        <w:t>kredyt 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000000"/>
          <w:sz w:val="22"/>
          <w:szCs w:val="22"/>
        </w:rPr>
        <w:t xml:space="preserve">wznowienie produkcji po klęskach żywiołowych </w:t>
      </w:r>
      <w:r>
        <w:rPr>
          <w:rFonts w:ascii="Calibri" w:hAnsi="Calibri" w:cs="Calibri"/>
          <w:color w:val="000000"/>
          <w:sz w:val="22"/>
          <w:szCs w:val="22"/>
        </w:rPr>
        <w:t xml:space="preserve">(z linii K01, K02, DK01, DK02). W tym przypadku pula środków przeznaczonych na dopłaty do oprocentowania wynosi </w:t>
      </w:r>
      <w:r w:rsidRPr="001555A0">
        <w:rPr>
          <w:rFonts w:ascii="Calibri" w:hAnsi="Calibri" w:cs="Calibri"/>
          <w:sz w:val="22"/>
          <w:szCs w:val="22"/>
        </w:rPr>
        <w:t>21,8 mln zł, a limit akcji kredytowej – 1 mld zł.</w:t>
      </w:r>
      <w:r w:rsidR="00CA5E07" w:rsidRPr="001555A0">
        <w:rPr>
          <w:rFonts w:ascii="Calibri" w:hAnsi="Calibri" w:cs="Calibri"/>
          <w:sz w:val="22"/>
          <w:szCs w:val="22"/>
        </w:rPr>
        <w:t xml:space="preserve"> Do </w:t>
      </w:r>
      <w:r w:rsidR="001555A0" w:rsidRPr="001555A0">
        <w:rPr>
          <w:rFonts w:ascii="Calibri" w:hAnsi="Calibri" w:cs="Calibri"/>
          <w:sz w:val="22"/>
          <w:szCs w:val="22"/>
        </w:rPr>
        <w:t>wniosku</w:t>
      </w:r>
      <w:r w:rsidR="00CA5E07" w:rsidRPr="001555A0">
        <w:rPr>
          <w:rFonts w:ascii="Calibri" w:hAnsi="Calibri" w:cs="Calibri"/>
          <w:sz w:val="22"/>
          <w:szCs w:val="22"/>
        </w:rPr>
        <w:t xml:space="preserve"> o udzielnie kredytu </w:t>
      </w:r>
      <w:r w:rsidR="001555A0" w:rsidRPr="001555A0">
        <w:rPr>
          <w:rFonts w:ascii="Calibri" w:hAnsi="Calibri" w:cs="Calibri"/>
          <w:sz w:val="22"/>
          <w:szCs w:val="22"/>
        </w:rPr>
        <w:t>klęskowego</w:t>
      </w:r>
      <w:r w:rsidR="00CA5E07" w:rsidRPr="001555A0">
        <w:rPr>
          <w:rFonts w:ascii="Calibri" w:hAnsi="Calibri" w:cs="Calibri"/>
          <w:sz w:val="22"/>
          <w:szCs w:val="22"/>
        </w:rPr>
        <w:t xml:space="preserve"> trzeba dołączyć protokół </w:t>
      </w:r>
      <w:r w:rsidR="001555A0" w:rsidRPr="001555A0">
        <w:rPr>
          <w:rFonts w:ascii="Calibri" w:hAnsi="Calibri" w:cs="Calibri"/>
          <w:sz w:val="22"/>
          <w:szCs w:val="22"/>
        </w:rPr>
        <w:t xml:space="preserve">oszacowania szkód. </w:t>
      </w:r>
      <w:r w:rsidR="00CA5E07" w:rsidRPr="001555A0">
        <w:rPr>
          <w:rFonts w:ascii="Calibri" w:hAnsi="Calibri" w:cs="Calibri"/>
          <w:sz w:val="22"/>
          <w:szCs w:val="22"/>
        </w:rPr>
        <w:t>K</w:t>
      </w:r>
      <w:r w:rsidRPr="001555A0">
        <w:rPr>
          <w:rFonts w:ascii="Calibri" w:hAnsi="Calibri" w:cs="Calibri"/>
          <w:sz w:val="22"/>
          <w:szCs w:val="22"/>
        </w:rPr>
        <w:t xml:space="preserve">wota kredytu nie może przekroczyć wysokości szkód w uprawach rolnych lub zwierzętach gospodarskich oszacowanych przez komisję – 5 mln zł na gospodarstwo rolne lub 8 mln zł na dział specjalny produkcji rolnej. </w:t>
      </w:r>
      <w:r w:rsidR="00CA5E07" w:rsidRPr="001555A0">
        <w:rPr>
          <w:rFonts w:ascii="Calibri" w:hAnsi="Calibri" w:cs="Calibri"/>
          <w:sz w:val="22"/>
          <w:szCs w:val="22"/>
        </w:rPr>
        <w:t xml:space="preserve">O taki kredyt można </w:t>
      </w:r>
      <w:r w:rsidR="001555A0" w:rsidRPr="001555A0">
        <w:rPr>
          <w:rFonts w:ascii="Calibri" w:hAnsi="Calibri" w:cs="Calibri"/>
          <w:sz w:val="22"/>
          <w:szCs w:val="22"/>
        </w:rPr>
        <w:t>ubiegać</w:t>
      </w:r>
      <w:r w:rsidR="00CA5E07" w:rsidRPr="001555A0">
        <w:rPr>
          <w:rFonts w:ascii="Calibri" w:hAnsi="Calibri" w:cs="Calibri"/>
          <w:sz w:val="22"/>
          <w:szCs w:val="22"/>
        </w:rPr>
        <w:t xml:space="preserve"> się </w:t>
      </w:r>
      <w:r w:rsidR="001555A0" w:rsidRPr="001555A0">
        <w:rPr>
          <w:rFonts w:ascii="Calibri" w:hAnsi="Calibri" w:cs="Calibri"/>
          <w:sz w:val="22"/>
          <w:szCs w:val="22"/>
        </w:rPr>
        <w:t xml:space="preserve"> w ciągu </w:t>
      </w:r>
      <w:r w:rsidRPr="001555A0">
        <w:rPr>
          <w:rFonts w:ascii="Calibri" w:hAnsi="Calibri" w:cs="Calibri"/>
          <w:sz w:val="22"/>
          <w:szCs w:val="22"/>
        </w:rPr>
        <w:t>12 miesięcy od daty sporządzenia protokołu oszacowania szkód.</w:t>
      </w:r>
      <w:r w:rsidR="001555A0" w:rsidRPr="001555A0">
        <w:rPr>
          <w:rFonts w:ascii="Calibri" w:hAnsi="Calibri" w:cs="Calibri"/>
          <w:sz w:val="22"/>
          <w:szCs w:val="22"/>
        </w:rPr>
        <w:t xml:space="preserve"> </w:t>
      </w:r>
      <w:r w:rsidRPr="001555A0">
        <w:rPr>
          <w:rFonts w:ascii="Calibri" w:hAnsi="Calibri" w:cs="Calibri"/>
          <w:sz w:val="22"/>
          <w:szCs w:val="22"/>
        </w:rPr>
        <w:t xml:space="preserve"> Jego beneficjentami mogą być m. in. rolnicy indywidualni, mikro, małe, średnie przedsiębiorstwa. Do uzyskania kredytu nie jest konieczne wniesienie wkładu własnego.</w:t>
      </w:r>
      <w:r w:rsidR="001555A0" w:rsidRPr="001555A0">
        <w:rPr>
          <w:rFonts w:ascii="Calibri" w:hAnsi="Calibri" w:cs="Calibri"/>
          <w:sz w:val="22"/>
          <w:szCs w:val="22"/>
        </w:rPr>
        <w:t xml:space="preserve"> Rozliczenie 50% środków obrotowych odbywa się na podstawie dokumentów zakupu od dnia wystąpienia szkody.</w:t>
      </w:r>
    </w:p>
    <w:p w:rsidR="00D43F01" w:rsidRPr="00D43F01" w:rsidRDefault="00D43F01" w:rsidP="00D43F01">
      <w:pPr>
        <w:pStyle w:val="Nagwek3"/>
        <w:jc w:val="both"/>
        <w:rPr>
          <w:rFonts w:ascii="Calibri" w:eastAsia="Times New Roman" w:hAnsi="Calibri" w:cs="Calibri"/>
          <w:color w:val="000000"/>
        </w:rPr>
      </w:pPr>
      <w:r w:rsidRPr="00D43F01">
        <w:rPr>
          <w:rFonts w:ascii="Calibri" w:eastAsia="Times New Roman" w:hAnsi="Calibri" w:cs="Calibri"/>
          <w:bCs w:val="0"/>
          <w:color w:val="000000"/>
        </w:rPr>
        <w:t>Jak wygląda procedura udzielania kredytu?</w:t>
      </w:r>
    </w:p>
    <w:p w:rsidR="00D43F01" w:rsidRDefault="00CA5E07" w:rsidP="00D43F01">
      <w:pPr>
        <w:spacing w:after="0"/>
        <w:jc w:val="both"/>
        <w:rPr>
          <w:rFonts w:eastAsiaTheme="minorHAnsi" w:cs="Calibri"/>
          <w:color w:val="000000"/>
        </w:rPr>
      </w:pPr>
      <w:r>
        <w:rPr>
          <w:color w:val="000000"/>
        </w:rPr>
        <w:t>W przypadku kredytu inwestycyjnego w</w:t>
      </w:r>
      <w:r w:rsidR="00D43F01">
        <w:rPr>
          <w:color w:val="000000"/>
        </w:rPr>
        <w:t>nioskodawca składa w banku plan przedsięwzięcia wraz z wnioskiem kredytowym. Bank analizuje dokumenty pod kątem spełnienia wymogów określonych przez zasady udzielania kredytów oraz wymogów stawianych przez bank. ARiMR dopłaca do oprocentowania kredytów.</w:t>
      </w:r>
    </w:p>
    <w:p w:rsidR="00D43F01" w:rsidRDefault="00D43F01" w:rsidP="00D43F01">
      <w:pPr>
        <w:spacing w:after="120"/>
        <w:jc w:val="both"/>
        <w:rPr>
          <w:b/>
          <w:bCs/>
          <w:color w:val="000000"/>
        </w:rPr>
      </w:pPr>
    </w:p>
    <w:p w:rsidR="00D43F01" w:rsidRDefault="00D43F01" w:rsidP="00D43F01">
      <w:pPr>
        <w:spacing w:after="120"/>
        <w:jc w:val="both"/>
        <w:rPr>
          <w:color w:val="000000"/>
        </w:rPr>
      </w:pPr>
      <w:r>
        <w:rPr>
          <w:b/>
          <w:bCs/>
          <w:color w:val="000000"/>
        </w:rPr>
        <w:t>Gdzie zaciągnąć taki kredyt?</w:t>
      </w:r>
    </w:p>
    <w:p w:rsidR="00D43F01" w:rsidRDefault="00D43F01" w:rsidP="00D43F01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Wnioski o kredyty preferencyjne przyjmują: Bank Polskiej Spółdzielczości S.A. i SGB-Bank S.A., </w:t>
      </w:r>
      <w:r>
        <w:rPr>
          <w:color w:val="000000"/>
        </w:rPr>
        <w:br/>
        <w:t xml:space="preserve">a także zrzeszone w nich Banki Spółdzielcze oraz BNP Paribas Bank Polska S.A., Krakowski Bank Spółdzielczy, PEKAO S.A., Santander Bank Polska S.A. </w:t>
      </w:r>
    </w:p>
    <w:p w:rsidR="00D43F01" w:rsidRDefault="00D43F01" w:rsidP="00D43F01">
      <w:pPr>
        <w:pStyle w:val="Nagwek3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Szczegółowe informacje </w:t>
      </w:r>
      <w:r w:rsidRPr="00D43F01">
        <w:rPr>
          <w:rFonts w:ascii="Calibri" w:eastAsia="Times New Roman" w:hAnsi="Calibri" w:cs="Calibri"/>
          <w:b w:val="0"/>
          <w:color w:val="000000"/>
        </w:rPr>
        <w:t xml:space="preserve">znajdują się na stronie Agencji Restrukturyzacji i Modernizacji Rolnictwa </w:t>
      </w:r>
      <w:hyperlink r:id="rId5" w:history="1">
        <w:r w:rsidRPr="00D43F01">
          <w:rPr>
            <w:rStyle w:val="Hipercze"/>
            <w:rFonts w:ascii="Calibri" w:eastAsia="Times New Roman" w:hAnsi="Calibri" w:cs="Calibri"/>
            <w:b w:val="0"/>
            <w:color w:val="000000"/>
          </w:rPr>
          <w:t>www.arimr.gov.pl</w:t>
        </w:r>
      </w:hyperlink>
      <w:r w:rsidRPr="00D43F01">
        <w:rPr>
          <w:rFonts w:ascii="Calibri" w:eastAsia="Times New Roman" w:hAnsi="Calibri" w:cs="Calibri"/>
          <w:b w:val="0"/>
          <w:color w:val="000000"/>
        </w:rPr>
        <w:t>  w zakładce „Pomoc krajowa” oraz w bankach udzielających kredytów.</w:t>
      </w:r>
    </w:p>
    <w:p w:rsidR="00115EA7" w:rsidRPr="005654BA" w:rsidRDefault="00115EA7" w:rsidP="00D43F01">
      <w:pPr>
        <w:spacing w:after="120"/>
        <w:jc w:val="both"/>
        <w:rPr>
          <w:rFonts w:ascii="Times New Roman" w:hAnsi="Times New Roman"/>
          <w:color w:val="000000" w:themeColor="text1"/>
        </w:rPr>
      </w:pPr>
    </w:p>
    <w:sectPr w:rsidR="00115EA7" w:rsidRPr="005654BA" w:rsidSect="0017698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5BD"/>
    <w:multiLevelType w:val="hybridMultilevel"/>
    <w:tmpl w:val="ED7EA352"/>
    <w:lvl w:ilvl="0" w:tplc="851E4A6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4C68"/>
    <w:multiLevelType w:val="hybridMultilevel"/>
    <w:tmpl w:val="21A4F638"/>
    <w:lvl w:ilvl="0" w:tplc="0EC852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3783"/>
    <w:multiLevelType w:val="hybridMultilevel"/>
    <w:tmpl w:val="73087F88"/>
    <w:lvl w:ilvl="0" w:tplc="5DF619DC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2FCF"/>
    <w:multiLevelType w:val="hybridMultilevel"/>
    <w:tmpl w:val="9050C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7291"/>
    <w:multiLevelType w:val="hybridMultilevel"/>
    <w:tmpl w:val="C7F48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15EA7"/>
    <w:rsid w:val="000743C1"/>
    <w:rsid w:val="00115EA7"/>
    <w:rsid w:val="001555A0"/>
    <w:rsid w:val="00174D1A"/>
    <w:rsid w:val="0019555D"/>
    <w:rsid w:val="00376DEF"/>
    <w:rsid w:val="005654BA"/>
    <w:rsid w:val="009E1B82"/>
    <w:rsid w:val="00AE7852"/>
    <w:rsid w:val="00CA5E07"/>
    <w:rsid w:val="00D43F01"/>
    <w:rsid w:val="00D963DC"/>
    <w:rsid w:val="00FE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EA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15EA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ogrubienie">
    <w:name w:val="Strong"/>
    <w:uiPriority w:val="22"/>
    <w:qFormat/>
    <w:rsid w:val="00115EA7"/>
    <w:rPr>
      <w:b/>
      <w:bCs/>
    </w:rPr>
  </w:style>
  <w:style w:type="paragraph" w:styleId="Tekstpodstawowywcity">
    <w:name w:val="Body Text Indent"/>
    <w:basedOn w:val="Normalny"/>
    <w:link w:val="TekstpodstawowywcityZnak"/>
    <w:rsid w:val="00115EA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E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15E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3F01"/>
    <w:pPr>
      <w:ind w:left="720"/>
      <w:contextualSpacing/>
    </w:pPr>
    <w:rPr>
      <w:rFonts w:eastAsiaTheme="minorHAnsi" w:cs="Calibri"/>
    </w:rPr>
  </w:style>
  <w:style w:type="paragraph" w:customStyle="1" w:styleId="Style5">
    <w:name w:val="Style5"/>
    <w:basedOn w:val="Normalny"/>
    <w:uiPriority w:val="99"/>
    <w:rsid w:val="00D43F01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 Paweł</dc:creator>
  <cp:lastModifiedBy>admin</cp:lastModifiedBy>
  <cp:revision>2</cp:revision>
  <dcterms:created xsi:type="dcterms:W3CDTF">2020-04-07T09:35:00Z</dcterms:created>
  <dcterms:modified xsi:type="dcterms:W3CDTF">2020-04-07T09:35:00Z</dcterms:modified>
</cp:coreProperties>
</file>