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F54057" w:rsidRDefault="00F54057" w:rsidP="00F54057">
      <w:pPr>
        <w:rPr>
          <w:b/>
          <w:sz w:val="22"/>
          <w:szCs w:val="22"/>
        </w:rPr>
      </w:pPr>
      <w:r>
        <w:rPr>
          <w:sz w:val="24"/>
          <w:szCs w:val="24"/>
        </w:rPr>
        <w:t xml:space="preserve">Numer sprawy: </w:t>
      </w:r>
      <w:r>
        <w:rPr>
          <w:b/>
          <w:sz w:val="22"/>
          <w:szCs w:val="22"/>
        </w:rPr>
        <w:t>ZP.271.1.NIEOGR.01.2013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646D62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233890">
        <w:rPr>
          <w:szCs w:val="28"/>
        </w:rPr>
        <w:t xml:space="preserve">pn. </w:t>
      </w:r>
      <w:r w:rsidRPr="00646D62">
        <w:rPr>
          <w:sz w:val="24"/>
          <w:szCs w:val="24"/>
        </w:rPr>
        <w:t xml:space="preserve">Remont chodnika prawostronnego w ciągu drogi powiatowej nr 1439 S Kamesznica-Milówka-Rajcza-Ujsoły-Granica państwa w miejscowości Rajcza </w:t>
      </w:r>
      <w:r w:rsidRPr="00646D62">
        <w:rPr>
          <w:sz w:val="24"/>
          <w:szCs w:val="24"/>
          <w:lang w:eastAsia="en-ZW"/>
        </w:rPr>
        <w:t xml:space="preserve">– ETAP I </w:t>
      </w:r>
      <w:proofErr w:type="spellStart"/>
      <w:r w:rsidRPr="00646D62">
        <w:rPr>
          <w:sz w:val="24"/>
          <w:szCs w:val="24"/>
          <w:lang w:eastAsia="en-ZW"/>
        </w:rPr>
        <w:t>i</w:t>
      </w:r>
      <w:proofErr w:type="spellEnd"/>
      <w:r w:rsidRPr="00646D62">
        <w:rPr>
          <w:sz w:val="24"/>
          <w:szCs w:val="24"/>
          <w:lang w:eastAsia="en-ZW"/>
        </w:rPr>
        <w:t xml:space="preserve"> ETAP II</w:t>
      </w:r>
    </w:p>
    <w:p w:rsidR="00611E54" w:rsidRPr="00646D62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646D62">
        <w:rPr>
          <w:b w:val="0"/>
          <w:sz w:val="24"/>
          <w:szCs w:val="24"/>
          <w:lang w:eastAsia="en-ZW"/>
        </w:rPr>
        <w:t>realizowany w ramach Projektu</w:t>
      </w:r>
      <w:r w:rsidRPr="00646D62">
        <w:rPr>
          <w:sz w:val="24"/>
          <w:szCs w:val="24"/>
          <w:lang w:eastAsia="en-ZW"/>
        </w:rPr>
        <w:t xml:space="preserve"> </w:t>
      </w:r>
    </w:p>
    <w:p w:rsidR="00F54057" w:rsidRPr="00646D62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46D62">
        <w:rPr>
          <w:sz w:val="24"/>
          <w:szCs w:val="24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Rajcza’’</w:t>
      </w: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Zatwierdził: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rPr>
          <w:b/>
          <w:sz w:val="24"/>
          <w:szCs w:val="24"/>
        </w:rPr>
      </w:pPr>
    </w:p>
    <w:p w:rsidR="00611E54" w:rsidRDefault="00611E54" w:rsidP="00F54057">
      <w:pPr>
        <w:pStyle w:val="Nagwek3"/>
        <w:spacing w:line="276" w:lineRule="auto"/>
        <w:rPr>
          <w:sz w:val="24"/>
          <w:szCs w:val="24"/>
        </w:rPr>
      </w:pPr>
    </w:p>
    <w:p w:rsidR="00611E54" w:rsidRDefault="00611E54" w:rsidP="00F54057">
      <w:pPr>
        <w:pStyle w:val="Nagwek3"/>
        <w:spacing w:line="276" w:lineRule="auto"/>
        <w:rPr>
          <w:sz w:val="24"/>
          <w:szCs w:val="24"/>
        </w:rPr>
      </w:pPr>
    </w:p>
    <w:p w:rsidR="00805865" w:rsidRPr="00805865" w:rsidRDefault="00805865" w:rsidP="00805865"/>
    <w:p w:rsidR="00257E09" w:rsidRDefault="00257E09" w:rsidP="00F54057">
      <w:pPr>
        <w:pStyle w:val="Nagwek3"/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F54057" w:rsidRPr="001C1A3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  <w:lang w:eastAsia="en-ZW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Pr="001C1A3D">
        <w:rPr>
          <w:sz w:val="24"/>
          <w:szCs w:val="24"/>
        </w:rPr>
        <w:t>Remont chodnika prawostr</w:t>
      </w:r>
      <w:r>
        <w:rPr>
          <w:sz w:val="24"/>
          <w:szCs w:val="24"/>
        </w:rPr>
        <w:t xml:space="preserve">onnego w ciągu drogi powiatowej nr </w:t>
      </w:r>
      <w:r w:rsidRPr="001C1A3D">
        <w:rPr>
          <w:sz w:val="24"/>
          <w:szCs w:val="24"/>
        </w:rPr>
        <w:t xml:space="preserve">1439 S Kamesznica-Milówka-Rajcza-Ujsoły-Granica państwa w miejscowości Rajcza </w:t>
      </w:r>
      <w:r>
        <w:rPr>
          <w:sz w:val="24"/>
          <w:szCs w:val="24"/>
        </w:rPr>
        <w:t>-</w:t>
      </w:r>
      <w:r w:rsidRPr="001C1A3D">
        <w:rPr>
          <w:sz w:val="24"/>
          <w:szCs w:val="24"/>
          <w:lang w:eastAsia="en-ZW"/>
        </w:rPr>
        <w:t xml:space="preserve"> ETAP I </w:t>
      </w:r>
      <w:proofErr w:type="spellStart"/>
      <w:r w:rsidRPr="001C1A3D">
        <w:rPr>
          <w:sz w:val="24"/>
          <w:szCs w:val="24"/>
          <w:lang w:eastAsia="en-ZW"/>
        </w:rPr>
        <w:t>i</w:t>
      </w:r>
      <w:proofErr w:type="spellEnd"/>
      <w:r w:rsidRPr="001C1A3D">
        <w:rPr>
          <w:sz w:val="24"/>
          <w:szCs w:val="24"/>
          <w:lang w:eastAsia="en-ZW"/>
        </w:rPr>
        <w:t xml:space="preserve"> ETAP II</w:t>
      </w:r>
    </w:p>
    <w:p w:rsidR="00F54057" w:rsidRPr="001C1A3D" w:rsidRDefault="00F54057" w:rsidP="00611E54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 w:rsidRPr="00C92A8F">
        <w:rPr>
          <w:b w:val="0"/>
          <w:sz w:val="24"/>
          <w:szCs w:val="24"/>
          <w:lang w:eastAsia="en-ZW"/>
        </w:rPr>
        <w:t>realizowany w ramach Projektu</w:t>
      </w:r>
      <w:r>
        <w:rPr>
          <w:b w:val="0"/>
          <w:sz w:val="24"/>
          <w:szCs w:val="24"/>
          <w:lang w:eastAsia="en-ZW"/>
        </w:rPr>
        <w:t xml:space="preserve">  </w:t>
      </w:r>
      <w:r w:rsidRPr="001C1A3D">
        <w:rPr>
          <w:sz w:val="24"/>
          <w:szCs w:val="24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Rajcza’’</w:t>
      </w:r>
      <w:r>
        <w:rPr>
          <w:b w:val="0"/>
          <w:sz w:val="24"/>
          <w:szCs w:val="24"/>
          <w:lang w:eastAsia="en-ZW"/>
        </w:rPr>
        <w:t xml:space="preserve"> </w:t>
      </w:r>
    </w:p>
    <w:p w:rsidR="00F54057" w:rsidRPr="006A3AF3" w:rsidRDefault="00F54057" w:rsidP="00F54057">
      <w:pPr>
        <w:ind w:left="284" w:right="-261"/>
        <w:jc w:val="both"/>
        <w:rPr>
          <w:color w:val="000000"/>
          <w:sz w:val="24"/>
          <w:szCs w:val="24"/>
        </w:rPr>
      </w:pPr>
    </w:p>
    <w:p w:rsidR="00F54057" w:rsidRPr="00FC26DB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F54057" w:rsidRDefault="00F540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Etap I</w:t>
      </w:r>
    </w:p>
    <w:p w:rsidR="00F54057" w:rsidRDefault="00F54057" w:rsidP="00F54057">
      <w:pPr>
        <w:ind w:right="-261"/>
        <w:rPr>
          <w:sz w:val="24"/>
          <w:szCs w:val="24"/>
        </w:rPr>
      </w:pPr>
    </w:p>
    <w:p w:rsidR="00F54057" w:rsidRDefault="00F540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Remont chodnika na długości 242 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 wraz ze zjazdami i odwodnieniem.</w:t>
      </w:r>
    </w:p>
    <w:p w:rsidR="00F54057" w:rsidRDefault="00F54057" w:rsidP="00F54057">
      <w:pPr>
        <w:ind w:right="-261"/>
        <w:rPr>
          <w:sz w:val="24"/>
          <w:szCs w:val="24"/>
        </w:rPr>
      </w:pPr>
    </w:p>
    <w:p w:rsidR="00F54057" w:rsidRDefault="00F540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Etap II</w:t>
      </w:r>
    </w:p>
    <w:p w:rsidR="00F54057" w:rsidRDefault="00F54057" w:rsidP="00F54057">
      <w:pPr>
        <w:ind w:right="-261"/>
        <w:rPr>
          <w:sz w:val="24"/>
          <w:szCs w:val="24"/>
        </w:rPr>
      </w:pPr>
    </w:p>
    <w:p w:rsidR="00F54057" w:rsidRDefault="00F540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Remont chodnika na długości 238,5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 wraz ze zjazdami i odwodnieniem.</w:t>
      </w:r>
    </w:p>
    <w:p w:rsidR="00F54057" w:rsidRPr="00DE3C2A" w:rsidRDefault="00F54057" w:rsidP="00F54057">
      <w:pPr>
        <w:ind w:right="-261"/>
        <w:rPr>
          <w:sz w:val="24"/>
          <w:szCs w:val="24"/>
        </w:rPr>
      </w:pPr>
    </w:p>
    <w:p w:rsidR="00F54057" w:rsidRPr="00955904" w:rsidRDefault="00F54057" w:rsidP="00F54057">
      <w:pPr>
        <w:spacing w:line="360" w:lineRule="auto"/>
        <w:jc w:val="both"/>
      </w:pPr>
      <w:r w:rsidRPr="00955904">
        <w:t>W przypadku gdy w dokumentacji projektowej opisano materiały lub wyroby za pomocą podania nazwy ich producenta, patentów lub pochodzenia, to w odniesieniu do tych materiałów lub wyrobów Zamawiający dopuszcza ujęcie w ofercie, a następnie zastosowanie, innych równoważnych materiałów lub urządzeń</w:t>
      </w:r>
      <w:r>
        <w:t xml:space="preserve"> (opisanych </w:t>
      </w:r>
      <w:r w:rsidR="00D31EFE">
        <w:t xml:space="preserve"> </w:t>
      </w:r>
      <w:r>
        <w:t xml:space="preserve">przez Zamawiającego) </w:t>
      </w:r>
      <w:r w:rsidRPr="00955904">
        <w:t xml:space="preserve"> pod warunkiem</w:t>
      </w:r>
      <w:r w:rsidR="00D31EFE">
        <w:t xml:space="preserve"> </w:t>
      </w:r>
      <w:r w:rsidRPr="00955904">
        <w:t xml:space="preserve"> posiadania przez</w:t>
      </w:r>
      <w:r>
        <w:t xml:space="preserve"> </w:t>
      </w:r>
      <w:r w:rsidRPr="00955904">
        <w:t xml:space="preserve"> nie parametrów nie gorszych niż materiały lub wyroby, które one zastępują.</w:t>
      </w:r>
    </w:p>
    <w:p w:rsidR="00F54057" w:rsidRDefault="00F54057" w:rsidP="00F54057">
      <w:pPr>
        <w:spacing w:line="360" w:lineRule="auto"/>
        <w:jc w:val="both"/>
      </w:pPr>
      <w:r w:rsidRPr="00955904">
        <w:lastRenderedPageBreak/>
        <w:t>W takiej sytuacji zamawiający wymaga złożenia do oferty stosownych dokumentów, uwiarygod</w:t>
      </w:r>
      <w:r>
        <w:t>niających te materiały i wyroby</w:t>
      </w:r>
      <w:r w:rsidRPr="00955904">
        <w:t>.</w:t>
      </w:r>
      <w:r>
        <w:t xml:space="preserve"> </w:t>
      </w:r>
      <w:r w:rsidRPr="00955904">
        <w:t xml:space="preserve">Złożone ww. dokumenty będą podlegały ocenie przez autora dokumentacji projektowej, który sporządzi opinie. Opinia ta będzie podstawą do podjęcia przez </w:t>
      </w:r>
      <w:r w:rsidR="00603A60">
        <w:t xml:space="preserve"> </w:t>
      </w:r>
      <w:r w:rsidRPr="00955904">
        <w:t xml:space="preserve">Zamawiającego decyzji o odrzuceniu oferty z powodu </w:t>
      </w:r>
      <w:r w:rsidR="00603A60">
        <w:t xml:space="preserve"> </w:t>
      </w:r>
      <w:proofErr w:type="spellStart"/>
      <w:r w:rsidR="00143F6D">
        <w:t>nie</w:t>
      </w:r>
      <w:r w:rsidRPr="00955904">
        <w:t>równoważności</w:t>
      </w:r>
      <w:proofErr w:type="spellEnd"/>
      <w:r w:rsidRPr="00955904">
        <w:t xml:space="preserve"> zaproponowanych zamienników.</w:t>
      </w:r>
      <w:r>
        <w:t xml:space="preserve"> </w:t>
      </w:r>
    </w:p>
    <w:p w:rsidR="00F54057" w:rsidRPr="006A3AF3" w:rsidRDefault="00F54057" w:rsidP="00F540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>Przedmiot zamówienia opisany został szczegółowo w następujących załącznikach do SIWZ</w:t>
      </w:r>
      <w:r>
        <w:rPr>
          <w:sz w:val="24"/>
          <w:szCs w:val="24"/>
        </w:rPr>
        <w:t>:</w:t>
      </w:r>
    </w:p>
    <w:p w:rsidR="00F54057" w:rsidRPr="009410AB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</w:t>
      </w:r>
      <w:r w:rsidR="00482A8F">
        <w:rPr>
          <w:sz w:val="24"/>
          <w:szCs w:val="24"/>
        </w:rPr>
        <w:t>y</w:t>
      </w:r>
      <w:r w:rsidRPr="009410AB">
        <w:rPr>
          <w:sz w:val="24"/>
          <w:szCs w:val="24"/>
        </w:rPr>
        <w:t xml:space="preserve"> robót</w:t>
      </w:r>
      <w:r w:rsidR="00482A8F">
        <w:rPr>
          <w:sz w:val="24"/>
          <w:szCs w:val="24"/>
        </w:rPr>
        <w:t xml:space="preserve"> Etap I </w:t>
      </w:r>
      <w:proofErr w:type="spellStart"/>
      <w:r w:rsidR="00482A8F">
        <w:rPr>
          <w:sz w:val="24"/>
          <w:szCs w:val="24"/>
        </w:rPr>
        <w:t>i</w:t>
      </w:r>
      <w:proofErr w:type="spellEnd"/>
      <w:r w:rsidR="00482A8F">
        <w:rPr>
          <w:sz w:val="24"/>
          <w:szCs w:val="24"/>
        </w:rPr>
        <w:t xml:space="preserve"> Etap II</w:t>
      </w:r>
      <w:r w:rsidRPr="009410AB">
        <w:rPr>
          <w:sz w:val="24"/>
          <w:szCs w:val="24"/>
        </w:rPr>
        <w:t xml:space="preserve"> 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2) specyfikacja techniczna wykonania i odbioru robót</w:t>
      </w:r>
      <w:r w:rsidR="00603A60">
        <w:rPr>
          <w:sz w:val="24"/>
          <w:szCs w:val="24"/>
        </w:rPr>
        <w:t xml:space="preserve"> </w:t>
      </w:r>
    </w:p>
    <w:p w:rsidR="00F54057" w:rsidRPr="007869D6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3) uproszczona dokumentacja techniczna</w:t>
      </w:r>
      <w:r w:rsidR="00482A8F">
        <w:rPr>
          <w:sz w:val="24"/>
          <w:szCs w:val="24"/>
        </w:rPr>
        <w:t xml:space="preserve"> (projekt uproszczony)</w:t>
      </w:r>
    </w:p>
    <w:p w:rsidR="00F54057" w:rsidRPr="00763699" w:rsidRDefault="00F54057" w:rsidP="00F54057">
      <w:pPr>
        <w:jc w:val="both"/>
      </w:pPr>
      <w:r>
        <w:rPr>
          <w:sz w:val="24"/>
          <w:szCs w:val="24"/>
        </w:rPr>
        <w:t>Wykonane przez</w:t>
      </w:r>
      <w:r w:rsidR="008058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82A8F">
        <w:rPr>
          <w:sz w:val="24"/>
          <w:szCs w:val="24"/>
        </w:rPr>
        <w:t>Pracownia projektowa KBN Projekt, inż. Arkadiusz Krzesak</w:t>
      </w:r>
      <w:r>
        <w:rPr>
          <w:sz w:val="24"/>
          <w:szCs w:val="24"/>
        </w:rPr>
        <w:t xml:space="preserve">, ul. </w:t>
      </w:r>
      <w:r w:rsidR="00482A8F">
        <w:rPr>
          <w:sz w:val="24"/>
          <w:szCs w:val="24"/>
        </w:rPr>
        <w:t xml:space="preserve">Mała 3/2, 34-300 Żywiec, </w:t>
      </w:r>
      <w:r>
        <w:rPr>
          <w:sz w:val="24"/>
          <w:szCs w:val="24"/>
        </w:rPr>
        <w:t>tel.</w:t>
      </w:r>
      <w:r w:rsidR="00482A8F">
        <w:rPr>
          <w:sz w:val="24"/>
          <w:szCs w:val="24"/>
        </w:rPr>
        <w:t xml:space="preserve"> kom. 608 697 511. </w:t>
      </w: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45100000-8  Przygotowanie terenu pod budowę, 45233000-9  Roboty w zakresie konstruowania, fundamentowania oraz wykonywania nawierzchni autostrad,  dróg, 45231000-5  Roboty budowlane w zakresie budowy rurociągów, ciągów komunikacyjnych i linii energetycznych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AF4095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AF4095">
        <w:rPr>
          <w:b/>
          <w:sz w:val="24"/>
          <w:szCs w:val="24"/>
        </w:rPr>
        <w:t>lip</w:t>
      </w:r>
      <w:r>
        <w:rPr>
          <w:b/>
          <w:sz w:val="24"/>
          <w:szCs w:val="24"/>
        </w:rPr>
        <w:t xml:space="preserve">ca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 3</w:t>
      </w:r>
      <w:r w:rsidR="00955C4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lastRenderedPageBreak/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>
        <w:rPr>
          <w:sz w:val="24"/>
          <w:szCs w:val="24"/>
        </w:rPr>
        <w:t>5</w:t>
      </w:r>
      <w:r w:rsidR="00955C42">
        <w:rPr>
          <w:sz w:val="24"/>
          <w:szCs w:val="24"/>
        </w:rPr>
        <w:t>0</w:t>
      </w:r>
      <w:r>
        <w:rPr>
          <w:sz w:val="24"/>
          <w:szCs w:val="24"/>
        </w:rPr>
        <w:t> 000,00 zł 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lastRenderedPageBreak/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lastRenderedPageBreak/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F54057" w:rsidRPr="007E6BAC" w:rsidRDefault="00F54057" w:rsidP="00F54057"/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F54057" w:rsidRPr="00AF552E" w:rsidRDefault="00F54057" w:rsidP="00F54057">
      <w:pPr>
        <w:jc w:val="both"/>
        <w:rPr>
          <w:b/>
          <w:color w:val="FF0000"/>
          <w:sz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c) Kosztorys ofertowy (szczegółowy)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 xml:space="preserve">.Jeżeli w kraju miejsca zamieszkania osoby lub w kraju, w którym wykonawca ma siedzibę lub miejsce zamieszkania nie wydaje się dokumentów, o których mowa powyżej, zastępuje </w:t>
      </w:r>
      <w:r>
        <w:lastRenderedPageBreak/>
        <w:t>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prześle treść wyjaśnień wszystkim wykonawcom, którzy pobrali SIWZ od zamawiającego, bez ujawniania źródła zapytania, oraz zostanie zamieszczone na www.bip.wegierska-gorka.pl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www.bip.wegierska-gorka.pl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955C42" w:rsidRPr="00955C42">
        <w:rPr>
          <w:b/>
          <w:sz w:val="24"/>
          <w:szCs w:val="24"/>
        </w:rPr>
        <w:t>5</w:t>
      </w:r>
      <w:r w:rsidRPr="00955C42">
        <w:rPr>
          <w:b/>
          <w:sz w:val="24"/>
          <w:szCs w:val="24"/>
        </w:rPr>
        <w:t>.</w:t>
      </w:r>
      <w:r w:rsidR="00955C42" w:rsidRPr="00955C42">
        <w:rPr>
          <w:b/>
          <w:sz w:val="24"/>
          <w:szCs w:val="24"/>
        </w:rPr>
        <w:t>0</w:t>
      </w:r>
      <w:r w:rsidRPr="00955C42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955C42">
        <w:rPr>
          <w:sz w:val="24"/>
          <w:szCs w:val="24"/>
        </w:rPr>
        <w:t xml:space="preserve">pięć tysięcy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lastRenderedPageBreak/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Pr="00955C42">
        <w:rPr>
          <w:sz w:val="24"/>
          <w:szCs w:val="24"/>
        </w:rPr>
        <w:t>, a kserokopie dokumentu poświadczona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F54057" w:rsidRPr="00C92A8F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  <w:lang w:eastAsia="en-ZW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  <w:r w:rsidRPr="00C92A8F">
        <w:rPr>
          <w:sz w:val="22"/>
          <w:szCs w:val="22"/>
        </w:rPr>
        <w:t>Remont chodnika prawostronnego w ciągu drogi powiatowej nr 1439 S Kamesznica-Milówka-Rajcza-Ujsoły-Granica państwa w miejscowości Rajcza -</w:t>
      </w:r>
      <w:r w:rsidRPr="00C92A8F">
        <w:rPr>
          <w:sz w:val="22"/>
          <w:szCs w:val="22"/>
          <w:lang w:eastAsia="en-ZW"/>
        </w:rPr>
        <w:t xml:space="preserve"> ETAP I </w:t>
      </w:r>
      <w:proofErr w:type="spellStart"/>
      <w:r w:rsidRPr="00C92A8F">
        <w:rPr>
          <w:sz w:val="22"/>
          <w:szCs w:val="22"/>
          <w:lang w:eastAsia="en-ZW"/>
        </w:rPr>
        <w:t>i</w:t>
      </w:r>
      <w:proofErr w:type="spellEnd"/>
      <w:r w:rsidRPr="00C92A8F">
        <w:rPr>
          <w:sz w:val="22"/>
          <w:szCs w:val="22"/>
          <w:lang w:eastAsia="en-ZW"/>
        </w:rPr>
        <w:t xml:space="preserve"> ETAP II</w:t>
      </w:r>
    </w:p>
    <w:p w:rsidR="00F54057" w:rsidRPr="00C92A8F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C92A8F">
        <w:rPr>
          <w:b w:val="0"/>
          <w:sz w:val="22"/>
          <w:szCs w:val="22"/>
          <w:lang w:eastAsia="en-ZW"/>
        </w:rPr>
        <w:t xml:space="preserve">realizowany w ramach Projektu  </w:t>
      </w:r>
      <w:r w:rsidRPr="00C92A8F">
        <w:rPr>
          <w:sz w:val="22"/>
          <w:szCs w:val="22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Rajcza’’</w:t>
      </w:r>
      <w:r w:rsidRPr="00C92A8F">
        <w:rPr>
          <w:b w:val="0"/>
          <w:sz w:val="22"/>
          <w:szCs w:val="22"/>
          <w:lang w:eastAsia="en-ZW"/>
        </w:rPr>
        <w:t xml:space="preserve"> </w:t>
      </w:r>
    </w:p>
    <w:p w:rsidR="00F54057" w:rsidRPr="00DD47EA" w:rsidRDefault="00F54057" w:rsidP="00F54057">
      <w:pPr>
        <w:ind w:right="-261"/>
        <w:jc w:val="both"/>
        <w:rPr>
          <w:b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482A8F" w:rsidRPr="0032007B">
        <w:rPr>
          <w:b/>
          <w:sz w:val="24"/>
          <w:szCs w:val="24"/>
        </w:rPr>
        <w:t>2</w:t>
      </w:r>
      <w:r w:rsidR="00C34551">
        <w:rPr>
          <w:b/>
          <w:sz w:val="24"/>
          <w:szCs w:val="24"/>
        </w:rPr>
        <w:t>4</w:t>
      </w:r>
      <w:r w:rsidRPr="0032007B">
        <w:rPr>
          <w:b/>
          <w:sz w:val="24"/>
          <w:szCs w:val="24"/>
        </w:rPr>
        <w:t xml:space="preserve"> kwietnia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>
        <w:t>2</w:t>
      </w:r>
      <w:r w:rsidR="00C34551">
        <w:t>4</w:t>
      </w:r>
      <w:r>
        <w:t xml:space="preserve"> kwietnia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>
        <w:rPr>
          <w:szCs w:val="24"/>
        </w:rPr>
        <w:t>2</w:t>
      </w:r>
      <w:r w:rsidR="00C34551">
        <w:rPr>
          <w:szCs w:val="24"/>
        </w:rPr>
        <w:t>4</w:t>
      </w:r>
      <w:r w:rsidRPr="009E41E2">
        <w:rPr>
          <w:szCs w:val="24"/>
        </w:rPr>
        <w:t xml:space="preserve"> kwietnia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Pr="00C2210C" w:rsidRDefault="00F54057" w:rsidP="00F54057"/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Pr="003D26CC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lastRenderedPageBreak/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Pr="00A04234">
        <w:rPr>
          <w:b/>
          <w:sz w:val="24"/>
        </w:rPr>
        <w:t>60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Pr="00A04234">
        <w:rPr>
          <w:b/>
          <w:sz w:val="24"/>
        </w:rPr>
        <w:t>30 dniu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b) zwiększenia lub zmniejszenia robót,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c) zawieszenia robót,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d) siły wyższej,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e) przekształcenia podmiotowego Wykonawcy;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lastRenderedPageBreak/>
        <w:t xml:space="preserve">f)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g) miejscowej zmiany technologii prowadzenia robót w sytuacji wystąpienia nieprzewidzianych trudnych warunków.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h) zmiany warunków atmosferycznych uniemożliwiających wykonywanie prac w określonych terminach,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i) ustawowej zmiany stawki VAT.</w:t>
      </w:r>
    </w:p>
    <w:p w:rsidR="005D5A0E" w:rsidRPr="002B025E" w:rsidRDefault="005D5A0E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j)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BC5773" w:rsidRDefault="00BC5773" w:rsidP="00BC5773">
      <w:pPr>
        <w:pStyle w:val="Default"/>
        <w:rPr>
          <w:u w:val="single"/>
        </w:rPr>
      </w:pPr>
      <w:r>
        <w:rPr>
          <w:u w:val="single"/>
        </w:rPr>
        <w:t xml:space="preserve">Zamawiający zastrzega sobie prawo unieważnienia postępowania na podstawie  </w:t>
      </w:r>
      <w:r w:rsidRPr="00BC5773">
        <w:rPr>
          <w:b/>
          <w:u w:val="single"/>
        </w:rPr>
        <w:t>art. 93 ust. 1a</w:t>
      </w:r>
      <w:r>
        <w:rPr>
          <w:u w:val="single"/>
        </w:rPr>
        <w:t xml:space="preserve">  PZP w przypadku odmowy przyznania dofinansowania na realizację Projektu przez Instytucję Pośrednicząca.</w:t>
      </w:r>
    </w:p>
    <w:p w:rsidR="00BC5773" w:rsidRPr="005A7D21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1F6245">
        <w:rPr>
          <w:b/>
          <w:color w:val="000000"/>
          <w:sz w:val="24"/>
          <w:szCs w:val="24"/>
        </w:rPr>
        <w:t>XVIII.</w:t>
      </w:r>
      <w:r>
        <w:rPr>
          <w:b/>
          <w:color w:val="000000"/>
          <w:sz w:val="24"/>
          <w:szCs w:val="24"/>
        </w:rPr>
        <w:t xml:space="preserve"> INNE  INFORMACJE</w:t>
      </w:r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5F" w:rsidRDefault="00396B5F" w:rsidP="008E70F0">
      <w:r>
        <w:separator/>
      </w:r>
    </w:p>
  </w:endnote>
  <w:endnote w:type="continuationSeparator" w:id="0">
    <w:p w:rsidR="00396B5F" w:rsidRDefault="00396B5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000551467,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5F" w:rsidRDefault="00396B5F" w:rsidP="008E70F0">
      <w:r>
        <w:separator/>
      </w:r>
    </w:p>
  </w:footnote>
  <w:footnote w:type="continuationSeparator" w:id="0">
    <w:p w:rsidR="00396B5F" w:rsidRDefault="00396B5F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842CDFC" wp14:editId="65E51B2E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8249A62" wp14:editId="4F4369E8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91614B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594A73DB" wp14:editId="184B8FD9">
          <wp:simplePos x="0" y="0"/>
          <wp:positionH relativeFrom="margin">
            <wp:posOffset>-228600</wp:posOffset>
          </wp:positionH>
          <wp:positionV relativeFrom="margin">
            <wp:posOffset>-768985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8D626D" wp14:editId="3705E469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1870CD" wp14:editId="5CAC4E73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4B8E"/>
    <w:rsid w:val="000F0605"/>
    <w:rsid w:val="00143F6D"/>
    <w:rsid w:val="002163D6"/>
    <w:rsid w:val="00257E09"/>
    <w:rsid w:val="002907FB"/>
    <w:rsid w:val="002B025E"/>
    <w:rsid w:val="0032007B"/>
    <w:rsid w:val="0038540C"/>
    <w:rsid w:val="00396B5F"/>
    <w:rsid w:val="00397E20"/>
    <w:rsid w:val="003F3929"/>
    <w:rsid w:val="00482A8F"/>
    <w:rsid w:val="004D563D"/>
    <w:rsid w:val="004F3185"/>
    <w:rsid w:val="005A7D21"/>
    <w:rsid w:val="005A7FCD"/>
    <w:rsid w:val="005D5A0E"/>
    <w:rsid w:val="00603A60"/>
    <w:rsid w:val="0060411E"/>
    <w:rsid w:val="00611E54"/>
    <w:rsid w:val="00646D62"/>
    <w:rsid w:val="0066757C"/>
    <w:rsid w:val="00744387"/>
    <w:rsid w:val="007F13AF"/>
    <w:rsid w:val="00805865"/>
    <w:rsid w:val="00813707"/>
    <w:rsid w:val="0083455E"/>
    <w:rsid w:val="008E70F0"/>
    <w:rsid w:val="0091614B"/>
    <w:rsid w:val="00955C42"/>
    <w:rsid w:val="00990C25"/>
    <w:rsid w:val="00A506FE"/>
    <w:rsid w:val="00A72EDF"/>
    <w:rsid w:val="00AF4095"/>
    <w:rsid w:val="00B1061F"/>
    <w:rsid w:val="00BC5773"/>
    <w:rsid w:val="00C03607"/>
    <w:rsid w:val="00C34551"/>
    <w:rsid w:val="00D31EFE"/>
    <w:rsid w:val="00EE5C98"/>
    <w:rsid w:val="00F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6.jpeg"/><Relationship Id="rId4" Type="http://schemas.openxmlformats.org/officeDocument/2006/relationships/hyperlink" Target="mailto:ugrajcza@rajcza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5072</Words>
  <Characters>30434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34</cp:revision>
  <cp:lastPrinted>2013-04-05T10:38:00Z</cp:lastPrinted>
  <dcterms:created xsi:type="dcterms:W3CDTF">2013-04-04T10:08:00Z</dcterms:created>
  <dcterms:modified xsi:type="dcterms:W3CDTF">2013-04-08T08:24:00Z</dcterms:modified>
</cp:coreProperties>
</file>