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1F" w:rsidRDefault="00F1201F" w:rsidP="00F1201F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Times New Roman"/>
          <w:i/>
          <w:lang w:eastAsia="pl-PL"/>
        </w:rPr>
      </w:pPr>
      <w:r>
        <w:rPr>
          <w:rFonts w:ascii="Helvetica" w:eastAsia="Times New Roman" w:hAnsi="Helvetica" w:cs="Times New Roman"/>
          <w:i/>
          <w:lang w:eastAsia="pl-PL"/>
        </w:rPr>
        <w:t>Załącznik 1</w:t>
      </w:r>
    </w:p>
    <w:p w:rsidR="00F1201F" w:rsidRDefault="00F1201F" w:rsidP="00F1201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Możliwe jest uzyskanie wsparcia finansowego na projekty w zakresie:</w:t>
      </w:r>
    </w:p>
    <w:p w:rsidR="00F1201F" w:rsidRDefault="00F1201F" w:rsidP="00F12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oś. 1. Ochrona i rozwój dziedzictwa przyrodniczego i kulturowego obszaru pogranicza oraz</w:t>
      </w:r>
    </w:p>
    <w:p w:rsidR="00F1201F" w:rsidRDefault="00F1201F" w:rsidP="00F12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oś. 3. Rozwój edukacji transgranicznej  i uczenia się przez całe życie.</w:t>
      </w:r>
    </w:p>
    <w:p w:rsidR="00F1201F" w:rsidRDefault="00F1201F" w:rsidP="00F1201F">
      <w:pPr>
        <w:spacing w:before="100" w:beforeAutospacing="1" w:after="100" w:afterAutospacing="1" w:line="240" w:lineRule="auto"/>
        <w:rPr>
          <w:rFonts w:ascii="Helvetica" w:hAnsi="Helvetica"/>
        </w:rPr>
      </w:pPr>
    </w:p>
    <w:p w:rsidR="00F1201F" w:rsidRDefault="00F1201F" w:rsidP="00F1201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hAnsi="Helvetica"/>
        </w:rPr>
        <w:t>będą  możliwe do realizacji przedsięwzięcia o charakterze transgranicznym (współpraca międzynarodowa)i niekomercyjnym (niedochodowym). Działaniom miękkim będzie mogła towarzyszyć realizacja małych inwestycji. Przykładowe działania: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Utworzenie nowych oraz modernizacja już istniejących transgranicznych szlaków turystycznych łączących po obu stronach granicy  miejsca dziedzictwa kulturowego i przyrodniczego: ścieżek rowerowych, szlaków pieszych, szlaków przyrodniczo-krajobrazowych, tematycznych szlaków kulturowych, których przynajmniej fragment biegnie  przez granicę między Polską i Słowacją. Wytyczone po obu stronach granicy szlaki muszą łączyć się ze sobą bezpośrednio lub stanowić część większej spójnej sieci szlaków.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Budowa lub modernizacja transgranicznej infrastruktury rekreacyjnej, jako uzupełnienia transgranicznych szlaków (np. punkty widokowe), bądź zapewnienie wygodnego do nich dotarcia.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Modernizacja obiektów dziedzictwa kulturowego znajdujących się na transgranicznych szlakach turystycznych.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Działania w zakresie współpracy między instytucjami w tym współpracy międzysektorowej (np. wspólne wystawy, systemy biletowe, organizacja konferencji tematycznych, opracowanie i wdrażanie wspólnych transgranicznych standardów i wytycznych w zakresie ochrony i zachowania dziedzictwa kulturowego i przyrodniczego).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Działania na rzecz integracji transgranicznej i budowania wspólnej tożsamości (np. zajęcia poświęcone dziedzictwu historyczno-kulturowemu i ekologii).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Wspólna transgraniczna promocja poświęcona dziedzictwu kulturowemu i przyrodniczemu terenu pogranicza (np. kampanie promocyjne i marketingowe w tym: organizacja i udział we wspólnych targach, konferencjach, dystrybucja materiałów promocyjnych, realizacja wspólnych produktów medialnych).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Działania na rzecz wspólnej ochrony środowiska naturalnego.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Wspólne opracowanie i promocja oferty edukacji specjalistycznej i zawodowej.</w:t>
      </w:r>
    </w:p>
    <w:p w:rsidR="00F1201F" w:rsidRDefault="00F1201F" w:rsidP="00F120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lang w:eastAsia="pl-PL"/>
        </w:rPr>
      </w:pPr>
      <w:r>
        <w:rPr>
          <w:rFonts w:ascii="Helvetica" w:eastAsia="Times New Roman" w:hAnsi="Helvetica" w:cs="Times New Roman"/>
          <w:lang w:eastAsia="pl-PL"/>
        </w:rPr>
        <w:t>Realizacja transgranicznych działań wspierających włączenie społeczne i partycypację społeczną (np. kursy, studia podyplomowe, programy i szkolenia).</w:t>
      </w:r>
    </w:p>
    <w:p w:rsidR="003F3929" w:rsidRDefault="003F3929">
      <w:bookmarkStart w:id="0" w:name="_GoBack"/>
      <w:bookmarkEnd w:id="0"/>
    </w:p>
    <w:sectPr w:rsidR="003F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F5F"/>
    <w:multiLevelType w:val="multilevel"/>
    <w:tmpl w:val="C60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81825"/>
    <w:multiLevelType w:val="multilevel"/>
    <w:tmpl w:val="DD30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1F"/>
    <w:rsid w:val="003F3929"/>
    <w:rsid w:val="00F1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1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1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a.miesiaczek</dc:creator>
  <cp:lastModifiedBy>a.miesiaczek</cp:lastModifiedBy>
  <cp:revision>1</cp:revision>
  <dcterms:created xsi:type="dcterms:W3CDTF">2016-12-01T12:22:00Z</dcterms:created>
  <dcterms:modified xsi:type="dcterms:W3CDTF">2016-12-01T12:23:00Z</dcterms:modified>
</cp:coreProperties>
</file>